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F2B" w:rsidRDefault="00D9527F">
      <w:pPr>
        <w:rPr>
          <w:rFonts w:ascii="Arial" w:eastAsia="Arial" w:hAnsi="Arial" w:cs="Arial"/>
          <w:b/>
          <w:sz w:val="28"/>
          <w:szCs w:val="28"/>
        </w:rPr>
      </w:pPr>
      <w:bookmarkStart w:id="0" w:name="_GoBack"/>
      <w:bookmarkEnd w:id="0"/>
      <w:proofErr w:type="spellStart"/>
      <w:r>
        <w:rPr>
          <w:rFonts w:ascii="Arial" w:hAnsi="Arial"/>
          <w:b/>
          <w:sz w:val="28"/>
          <w:szCs w:val="28"/>
        </w:rPr>
        <w:t>Vitocal</w:t>
      </w:r>
      <w:proofErr w:type="spellEnd"/>
      <w:r>
        <w:rPr>
          <w:rFonts w:ascii="Arial" w:hAnsi="Arial"/>
          <w:b/>
          <w:sz w:val="28"/>
          <w:szCs w:val="28"/>
        </w:rPr>
        <w:t xml:space="preserve"> 350-G Pro: </w:t>
      </w:r>
      <w:r w:rsidR="0052052A">
        <w:rPr>
          <w:rFonts w:ascii="Arial" w:hAnsi="Arial"/>
          <w:b/>
          <w:sz w:val="28"/>
          <w:szCs w:val="28"/>
        </w:rPr>
        <w:t xml:space="preserve">Large </w:t>
      </w:r>
      <w:r>
        <w:rPr>
          <w:rFonts w:ascii="Arial" w:hAnsi="Arial"/>
          <w:b/>
          <w:sz w:val="28"/>
          <w:szCs w:val="28"/>
        </w:rPr>
        <w:t>heat pump for high temperatures</w:t>
      </w:r>
    </w:p>
    <w:p w:rsidR="001A1F2B" w:rsidRDefault="00D9527F">
      <w:pPr>
        <w:rPr>
          <w:rFonts w:ascii="Arial" w:eastAsia="Arial" w:hAnsi="Arial" w:cs="Arial"/>
          <w:b/>
          <w:sz w:val="28"/>
          <w:szCs w:val="28"/>
        </w:rPr>
      </w:pPr>
      <w:r>
        <w:rPr>
          <w:rFonts w:ascii="Arial" w:hAnsi="Arial"/>
          <w:b/>
          <w:sz w:val="28"/>
          <w:szCs w:val="28"/>
        </w:rPr>
        <w:t>Easy remote maintenance with new programmable logic controller</w:t>
      </w:r>
    </w:p>
    <w:p w:rsidR="001A1F2B" w:rsidRDefault="001A1F2B">
      <w:pPr>
        <w:rPr>
          <w:rFonts w:ascii="Arial" w:eastAsia="Arial" w:hAnsi="Arial" w:cs="Arial"/>
          <w:sz w:val="22"/>
          <w:szCs w:val="22"/>
        </w:rPr>
      </w:pPr>
    </w:p>
    <w:p w:rsidR="001A1F2B" w:rsidRDefault="00D9527F">
      <w:pPr>
        <w:rPr>
          <w:rFonts w:ascii="Arial" w:eastAsia="Arial" w:hAnsi="Arial" w:cs="Arial"/>
          <w:sz w:val="22"/>
          <w:szCs w:val="22"/>
        </w:rPr>
      </w:pPr>
      <w:r>
        <w:rPr>
          <w:rFonts w:ascii="Arial" w:hAnsi="Arial"/>
          <w:sz w:val="22"/>
          <w:szCs w:val="22"/>
        </w:rPr>
        <w:t>If you need high temperatures for hygienic DHW generation or for providing heat to radiator systems, the Vitocal 350-G Pro</w:t>
      </w:r>
      <w:r w:rsidR="009E67DD">
        <w:rPr>
          <w:rFonts w:ascii="Arial" w:hAnsi="Arial"/>
          <w:sz w:val="22"/>
          <w:szCs w:val="22"/>
        </w:rPr>
        <w:t xml:space="preserve"> </w:t>
      </w:r>
      <w:hyperlink r:id="rId7">
        <w:r>
          <w:rPr>
            <w:rFonts w:ascii="Arial" w:hAnsi="Arial"/>
            <w:color w:val="1155CC"/>
            <w:sz w:val="22"/>
            <w:szCs w:val="22"/>
            <w:u w:val="single"/>
          </w:rPr>
          <w:t>large heat pump</w:t>
        </w:r>
      </w:hyperlink>
      <w:r>
        <w:rPr>
          <w:rFonts w:ascii="Arial" w:hAnsi="Arial"/>
          <w:sz w:val="22"/>
          <w:szCs w:val="22"/>
        </w:rPr>
        <w:t xml:space="preserve"> is the right choice for you. With flow temperatures of up to 73 degrees Celsius, the pump enables large residential complexes, administration buildings, commercial buildings and communal facilities to be heated in an economical manner. The new Vitotronic SPS (type 2.0) programmable logic controller now makes operation and maintenance even easier – any time and from anywhere.</w:t>
      </w:r>
    </w:p>
    <w:p w:rsidR="001A1F2B" w:rsidRDefault="001A1F2B">
      <w:pPr>
        <w:rPr>
          <w:rFonts w:ascii="Arial" w:eastAsia="Arial" w:hAnsi="Arial" w:cs="Arial"/>
          <w:sz w:val="22"/>
          <w:szCs w:val="22"/>
        </w:rPr>
      </w:pPr>
    </w:p>
    <w:p w:rsidR="001A1F2B" w:rsidRDefault="00D9527F">
      <w:pPr>
        <w:rPr>
          <w:rFonts w:ascii="Arial" w:eastAsia="Arial" w:hAnsi="Arial" w:cs="Arial"/>
          <w:b/>
          <w:sz w:val="22"/>
          <w:szCs w:val="22"/>
        </w:rPr>
      </w:pPr>
      <w:r>
        <w:rPr>
          <w:rFonts w:ascii="Arial" w:hAnsi="Arial"/>
          <w:b/>
          <w:sz w:val="22"/>
          <w:szCs w:val="22"/>
        </w:rPr>
        <w:t>Comprehensive remote maintenance ensures high degree of availability</w:t>
      </w:r>
    </w:p>
    <w:p w:rsidR="001A1F2B" w:rsidRDefault="00D9527F">
      <w:pPr>
        <w:rPr>
          <w:rFonts w:ascii="Arial" w:eastAsia="Arial" w:hAnsi="Arial" w:cs="Arial"/>
          <w:sz w:val="22"/>
          <w:szCs w:val="22"/>
        </w:rPr>
      </w:pPr>
      <w:r>
        <w:rPr>
          <w:rFonts w:ascii="Arial" w:hAnsi="Arial"/>
          <w:sz w:val="22"/>
          <w:szCs w:val="22"/>
        </w:rPr>
        <w:t xml:space="preserve">The new PLC-based Vitotronic makes it </w:t>
      </w:r>
      <w:proofErr w:type="gramStart"/>
      <w:r>
        <w:rPr>
          <w:rFonts w:ascii="Arial" w:hAnsi="Arial"/>
          <w:sz w:val="22"/>
          <w:szCs w:val="22"/>
        </w:rPr>
        <w:t>really easy</w:t>
      </w:r>
      <w:proofErr w:type="gramEnd"/>
      <w:r>
        <w:rPr>
          <w:rFonts w:ascii="Arial" w:hAnsi="Arial"/>
          <w:sz w:val="22"/>
          <w:szCs w:val="22"/>
        </w:rPr>
        <w:t xml:space="preserve"> to access your heat pump system quickly from any location, allowing you to optimize settings or rectify faults. The control unit boasts a wide range of communication options to aid system monitoring and remote maintenance. Apart from LAN-base</w:t>
      </w:r>
      <w:r w:rsidR="009E67DD">
        <w:rPr>
          <w:rFonts w:ascii="Arial" w:hAnsi="Arial"/>
          <w:sz w:val="22"/>
          <w:szCs w:val="22"/>
        </w:rPr>
        <w:t>d systems, you can also use Modbus and Bacn</w:t>
      </w:r>
      <w:r>
        <w:rPr>
          <w:rFonts w:ascii="Arial" w:hAnsi="Arial"/>
          <w:sz w:val="22"/>
          <w:szCs w:val="22"/>
        </w:rPr>
        <w:t xml:space="preserve">et interfaces, which enable the heat pump to be integrated into a superordinate building management system. Up to four mixed heating or cooling circuits can be monitored and controlled. The system also includes an integrated </w:t>
      </w:r>
      <w:r w:rsidR="0052052A">
        <w:rPr>
          <w:rFonts w:ascii="Arial" w:hAnsi="Arial"/>
          <w:sz w:val="22"/>
          <w:szCs w:val="22"/>
        </w:rPr>
        <w:t xml:space="preserve">control unit </w:t>
      </w:r>
      <w:r>
        <w:rPr>
          <w:rFonts w:ascii="Arial" w:hAnsi="Arial"/>
          <w:sz w:val="22"/>
          <w:szCs w:val="22"/>
        </w:rPr>
        <w:t xml:space="preserve">specifically for cooling operation which permits cold water levels to be regulated by means of waste heat management using geothermal probes or heat exchangers. As an option, the system can be adapted to include the facility to control </w:t>
      </w:r>
      <w:r w:rsidR="0052052A">
        <w:rPr>
          <w:rFonts w:ascii="Arial" w:hAnsi="Arial"/>
          <w:sz w:val="22"/>
          <w:szCs w:val="22"/>
        </w:rPr>
        <w:t xml:space="preserve">an </w:t>
      </w:r>
      <w:r>
        <w:rPr>
          <w:rFonts w:ascii="Arial" w:hAnsi="Arial"/>
          <w:sz w:val="22"/>
          <w:szCs w:val="22"/>
        </w:rPr>
        <w:t xml:space="preserve">oil/gas-fired boiler and </w:t>
      </w:r>
      <w:r w:rsidR="0052052A">
        <w:rPr>
          <w:rFonts w:ascii="Arial" w:hAnsi="Arial"/>
          <w:sz w:val="22"/>
          <w:szCs w:val="22"/>
        </w:rPr>
        <w:t xml:space="preserve">a </w:t>
      </w:r>
      <w:r>
        <w:rPr>
          <w:rFonts w:ascii="Arial" w:hAnsi="Arial"/>
          <w:sz w:val="22"/>
          <w:szCs w:val="22"/>
        </w:rPr>
        <w:t>DHW cylinders.</w:t>
      </w:r>
    </w:p>
    <w:p w:rsidR="001A1F2B" w:rsidRDefault="00D9527F">
      <w:pPr>
        <w:rPr>
          <w:rFonts w:ascii="Arial" w:eastAsia="Arial" w:hAnsi="Arial" w:cs="Arial"/>
          <w:sz w:val="22"/>
          <w:szCs w:val="22"/>
        </w:rPr>
      </w:pPr>
      <w:r>
        <w:rPr>
          <w:rFonts w:ascii="Arial" w:hAnsi="Arial"/>
          <w:sz w:val="22"/>
          <w:szCs w:val="22"/>
        </w:rPr>
        <w:t>Local operation of the system is very straightforward using the large 7</w:t>
      </w:r>
      <w:r w:rsidR="005858AE">
        <w:rPr>
          <w:rFonts w:ascii="Arial" w:hAnsi="Arial"/>
          <w:sz w:val="22"/>
          <w:szCs w:val="22"/>
        </w:rPr>
        <w:t xml:space="preserve">" </w:t>
      </w:r>
      <w:r>
        <w:rPr>
          <w:rFonts w:ascii="Arial" w:hAnsi="Arial"/>
          <w:sz w:val="22"/>
          <w:szCs w:val="22"/>
        </w:rPr>
        <w:t xml:space="preserve">color touch display attached directly to the heat pump. The heat pump can be operated intuitively without the need to have printed instructions to hand. </w:t>
      </w:r>
    </w:p>
    <w:p w:rsidR="001A1F2B" w:rsidRDefault="00D9527F">
      <w:pPr>
        <w:rPr>
          <w:rFonts w:ascii="Arial" w:eastAsia="Arial" w:hAnsi="Arial" w:cs="Arial"/>
          <w:b/>
          <w:sz w:val="22"/>
          <w:szCs w:val="22"/>
        </w:rPr>
      </w:pPr>
      <w:r>
        <w:rPr>
          <w:rFonts w:ascii="Arial" w:hAnsi="Arial"/>
          <w:sz w:val="22"/>
          <w:szCs w:val="22"/>
        </w:rPr>
        <w:br/>
      </w:r>
      <w:r>
        <w:rPr>
          <w:rFonts w:ascii="Arial" w:hAnsi="Arial"/>
          <w:b/>
          <w:sz w:val="22"/>
          <w:szCs w:val="22"/>
        </w:rPr>
        <w:t>High efficiency means low energy costs</w:t>
      </w:r>
    </w:p>
    <w:p w:rsidR="001A1F2B" w:rsidRDefault="00D9527F" w:rsidP="00D9527F">
      <w:pPr>
        <w:rPr>
          <w:rFonts w:ascii="Arial" w:eastAsia="Arial" w:hAnsi="Arial" w:cs="Arial"/>
          <w:sz w:val="22"/>
          <w:szCs w:val="22"/>
        </w:rPr>
      </w:pPr>
      <w:r>
        <w:rPr>
          <w:rFonts w:ascii="Arial" w:hAnsi="Arial"/>
          <w:sz w:val="22"/>
          <w:szCs w:val="22"/>
        </w:rPr>
        <w:t>The output spectrum of the two or three-</w:t>
      </w:r>
      <w:r w:rsidR="005858AE">
        <w:rPr>
          <w:rFonts w:ascii="Arial" w:hAnsi="Arial"/>
          <w:sz w:val="22"/>
          <w:szCs w:val="22"/>
        </w:rPr>
        <w:t xml:space="preserve">stage </w:t>
      </w:r>
      <w:r>
        <w:rPr>
          <w:rFonts w:ascii="Arial" w:hAnsi="Arial"/>
          <w:sz w:val="22"/>
          <w:szCs w:val="22"/>
        </w:rPr>
        <w:t xml:space="preserve">large heat pump ranges from 27 to 198 kilowatts when using geothermal energy. When using groundwater as a heat source, heat outputs between 37 and 274 kilowatts are available. The heat pump’s high efficiency (COP: 4.4 at B0/W35°C in accordance with EN 14511) is the ideal way of ensuring low power consumption and low energy costs, </w:t>
      </w:r>
      <w:r w:rsidR="005858AE">
        <w:rPr>
          <w:rFonts w:ascii="Arial" w:hAnsi="Arial"/>
          <w:sz w:val="22"/>
          <w:szCs w:val="22"/>
        </w:rPr>
        <w:t xml:space="preserve">consistently </w:t>
      </w:r>
      <w:r>
        <w:rPr>
          <w:rFonts w:ascii="Arial" w:hAnsi="Arial"/>
          <w:sz w:val="22"/>
          <w:szCs w:val="22"/>
        </w:rPr>
        <w:t xml:space="preserve">allowing high flow temperatures to be achieved even at low heat-source temperatures. </w:t>
      </w:r>
      <w:r>
        <w:rPr>
          <w:rFonts w:ascii="Arial" w:hAnsi="Arial"/>
          <w:sz w:val="22"/>
          <w:szCs w:val="22"/>
        </w:rPr>
        <w:br/>
      </w:r>
    </w:p>
    <w:p w:rsidR="001A1F2B" w:rsidRDefault="00D9527F">
      <w:pPr>
        <w:rPr>
          <w:rFonts w:ascii="Arial" w:eastAsia="Arial" w:hAnsi="Arial" w:cs="Arial"/>
          <w:b/>
          <w:sz w:val="22"/>
          <w:szCs w:val="22"/>
        </w:rPr>
      </w:pPr>
      <w:r>
        <w:rPr>
          <w:rFonts w:ascii="Arial" w:hAnsi="Arial"/>
          <w:b/>
          <w:sz w:val="22"/>
          <w:szCs w:val="22"/>
        </w:rPr>
        <w:t>Advantages for trade partners</w:t>
      </w:r>
    </w:p>
    <w:p w:rsidR="001A1F2B" w:rsidRDefault="00D9527F">
      <w:pPr>
        <w:numPr>
          <w:ilvl w:val="0"/>
          <w:numId w:val="2"/>
        </w:numPr>
        <w:spacing w:after="0"/>
        <w:rPr>
          <w:rFonts w:ascii="Arial" w:eastAsia="Arial" w:hAnsi="Arial" w:cs="Arial"/>
          <w:sz w:val="22"/>
          <w:szCs w:val="22"/>
        </w:rPr>
      </w:pPr>
      <w:r>
        <w:rPr>
          <w:rFonts w:ascii="Arial" w:hAnsi="Arial"/>
          <w:sz w:val="22"/>
          <w:szCs w:val="22"/>
        </w:rPr>
        <w:t>Two or three-</w:t>
      </w:r>
      <w:r w:rsidR="005858AE">
        <w:rPr>
          <w:rFonts w:ascii="Arial" w:hAnsi="Arial"/>
          <w:sz w:val="22"/>
          <w:szCs w:val="22"/>
        </w:rPr>
        <w:t xml:space="preserve">stage </w:t>
      </w:r>
      <w:r>
        <w:rPr>
          <w:rFonts w:ascii="Arial" w:hAnsi="Arial"/>
          <w:sz w:val="22"/>
          <w:szCs w:val="22"/>
        </w:rPr>
        <w:t>design provides extensive output spectrum and optimal part-load behavior</w:t>
      </w:r>
    </w:p>
    <w:p w:rsidR="001A1F2B" w:rsidRDefault="00D9527F">
      <w:pPr>
        <w:numPr>
          <w:ilvl w:val="0"/>
          <w:numId w:val="2"/>
        </w:numPr>
        <w:spacing w:after="0"/>
        <w:rPr>
          <w:rFonts w:ascii="Arial" w:eastAsia="Arial" w:hAnsi="Arial" w:cs="Arial"/>
          <w:sz w:val="22"/>
          <w:szCs w:val="22"/>
        </w:rPr>
      </w:pPr>
      <w:r>
        <w:rPr>
          <w:rFonts w:ascii="Arial" w:hAnsi="Arial"/>
          <w:sz w:val="22"/>
          <w:szCs w:val="22"/>
        </w:rPr>
        <w:t>Equipped with electronic soft starter as standard</w:t>
      </w:r>
    </w:p>
    <w:p w:rsidR="001A1F2B" w:rsidRDefault="00D9527F">
      <w:pPr>
        <w:numPr>
          <w:ilvl w:val="0"/>
          <w:numId w:val="2"/>
        </w:numPr>
        <w:spacing w:after="0"/>
        <w:rPr>
          <w:rFonts w:ascii="Arial" w:eastAsia="Arial" w:hAnsi="Arial" w:cs="Arial"/>
          <w:sz w:val="22"/>
          <w:szCs w:val="22"/>
        </w:rPr>
      </w:pPr>
      <w:r>
        <w:rPr>
          <w:rFonts w:ascii="Arial" w:hAnsi="Arial"/>
          <w:sz w:val="22"/>
          <w:szCs w:val="22"/>
        </w:rPr>
        <w:t>PLC-</w:t>
      </w:r>
      <w:r w:rsidR="009E67DD">
        <w:rPr>
          <w:rFonts w:ascii="Arial" w:hAnsi="Arial"/>
          <w:sz w:val="22"/>
          <w:szCs w:val="22"/>
        </w:rPr>
        <w:t>supported Vitotronic with Modbus</w:t>
      </w:r>
      <w:r>
        <w:rPr>
          <w:rFonts w:ascii="Arial" w:hAnsi="Arial"/>
          <w:sz w:val="22"/>
          <w:szCs w:val="22"/>
        </w:rPr>
        <w:t xml:space="preserve"> and Bacnet communication interface</w:t>
      </w:r>
    </w:p>
    <w:p w:rsidR="001A1F2B" w:rsidRDefault="00D9527F">
      <w:pPr>
        <w:numPr>
          <w:ilvl w:val="0"/>
          <w:numId w:val="2"/>
        </w:numPr>
        <w:spacing w:after="0"/>
        <w:rPr>
          <w:rFonts w:ascii="Arial" w:eastAsia="Arial" w:hAnsi="Arial" w:cs="Arial"/>
          <w:sz w:val="22"/>
          <w:szCs w:val="22"/>
        </w:rPr>
      </w:pPr>
      <w:r>
        <w:rPr>
          <w:rFonts w:ascii="Arial" w:hAnsi="Arial"/>
          <w:sz w:val="22"/>
          <w:szCs w:val="22"/>
        </w:rPr>
        <w:t>Multi-stage feature ensures increased operational reliability</w:t>
      </w:r>
    </w:p>
    <w:p w:rsidR="001A1F2B" w:rsidRDefault="00D9527F">
      <w:pPr>
        <w:numPr>
          <w:ilvl w:val="0"/>
          <w:numId w:val="2"/>
        </w:numPr>
        <w:spacing w:after="0"/>
        <w:rPr>
          <w:rFonts w:ascii="Arial" w:eastAsia="Arial" w:hAnsi="Arial" w:cs="Arial"/>
          <w:sz w:val="22"/>
          <w:szCs w:val="22"/>
        </w:rPr>
      </w:pPr>
      <w:r>
        <w:rPr>
          <w:rFonts w:ascii="Arial" w:hAnsi="Arial"/>
          <w:sz w:val="22"/>
          <w:szCs w:val="22"/>
        </w:rPr>
        <w:lastRenderedPageBreak/>
        <w:t xml:space="preserve">Cooling </w:t>
      </w:r>
      <w:r w:rsidR="005858AE">
        <w:rPr>
          <w:rFonts w:ascii="Arial" w:hAnsi="Arial"/>
          <w:sz w:val="22"/>
          <w:szCs w:val="22"/>
        </w:rPr>
        <w:t xml:space="preserve">control unit </w:t>
      </w:r>
      <w:r>
        <w:rPr>
          <w:rFonts w:ascii="Arial" w:hAnsi="Arial"/>
          <w:sz w:val="22"/>
          <w:szCs w:val="22"/>
        </w:rPr>
        <w:t>with waste heat management via geothermal probe or heat exchanger</w:t>
      </w:r>
    </w:p>
    <w:p w:rsidR="001A1F2B" w:rsidRDefault="00D9527F">
      <w:pPr>
        <w:numPr>
          <w:ilvl w:val="0"/>
          <w:numId w:val="2"/>
        </w:numPr>
        <w:ind w:left="708"/>
        <w:rPr>
          <w:rFonts w:ascii="Arial" w:eastAsia="Arial" w:hAnsi="Arial" w:cs="Arial"/>
          <w:sz w:val="22"/>
          <w:szCs w:val="22"/>
        </w:rPr>
      </w:pPr>
      <w:r>
        <w:rPr>
          <w:rFonts w:ascii="Arial" w:hAnsi="Arial"/>
          <w:sz w:val="22"/>
          <w:szCs w:val="22"/>
        </w:rPr>
        <w:t>Robust design (industrial design)</w:t>
      </w:r>
    </w:p>
    <w:p w:rsidR="001A1F2B" w:rsidRDefault="00D9527F">
      <w:pPr>
        <w:rPr>
          <w:rFonts w:ascii="Arial" w:eastAsia="Arial" w:hAnsi="Arial" w:cs="Arial"/>
          <w:b/>
          <w:sz w:val="22"/>
          <w:szCs w:val="22"/>
        </w:rPr>
      </w:pPr>
      <w:r>
        <w:rPr>
          <w:rFonts w:ascii="Arial" w:hAnsi="Arial"/>
          <w:sz w:val="22"/>
          <w:szCs w:val="22"/>
        </w:rPr>
        <w:br/>
      </w:r>
      <w:r>
        <w:rPr>
          <w:rFonts w:ascii="Arial" w:hAnsi="Arial"/>
          <w:b/>
          <w:sz w:val="22"/>
          <w:szCs w:val="22"/>
        </w:rPr>
        <w:t>Advantages for homeowners</w:t>
      </w:r>
    </w:p>
    <w:p w:rsidR="001A1F2B" w:rsidRDefault="00D9527F">
      <w:pPr>
        <w:numPr>
          <w:ilvl w:val="0"/>
          <w:numId w:val="1"/>
        </w:numPr>
        <w:spacing w:after="0"/>
        <w:rPr>
          <w:rFonts w:ascii="Arial" w:eastAsia="Arial" w:hAnsi="Arial" w:cs="Arial"/>
          <w:sz w:val="22"/>
          <w:szCs w:val="22"/>
        </w:rPr>
      </w:pPr>
      <w:r>
        <w:rPr>
          <w:rFonts w:ascii="Arial" w:hAnsi="Arial"/>
          <w:sz w:val="22"/>
          <w:szCs w:val="22"/>
        </w:rPr>
        <w:t>Low operating costs thanks to high coefficient of performance</w:t>
      </w:r>
    </w:p>
    <w:p w:rsidR="001A1F2B" w:rsidRDefault="00D9527F">
      <w:pPr>
        <w:numPr>
          <w:ilvl w:val="0"/>
          <w:numId w:val="1"/>
        </w:numPr>
        <w:spacing w:after="0"/>
        <w:rPr>
          <w:rFonts w:ascii="Arial" w:eastAsia="Arial" w:hAnsi="Arial" w:cs="Arial"/>
          <w:sz w:val="22"/>
          <w:szCs w:val="22"/>
        </w:rPr>
      </w:pPr>
      <w:r>
        <w:rPr>
          <w:rFonts w:ascii="Arial" w:hAnsi="Arial"/>
          <w:sz w:val="22"/>
          <w:szCs w:val="22"/>
        </w:rPr>
        <w:t>Low-cost partial load operation by use of two or three equally powerful compressors</w:t>
      </w:r>
    </w:p>
    <w:p w:rsidR="001A1F2B" w:rsidRDefault="00D9527F">
      <w:pPr>
        <w:numPr>
          <w:ilvl w:val="0"/>
          <w:numId w:val="1"/>
        </w:numPr>
        <w:spacing w:after="0"/>
        <w:rPr>
          <w:rFonts w:ascii="Arial" w:eastAsia="Arial" w:hAnsi="Arial" w:cs="Arial"/>
          <w:sz w:val="22"/>
          <w:szCs w:val="22"/>
        </w:rPr>
      </w:pPr>
      <w:r>
        <w:rPr>
          <w:rFonts w:ascii="Arial" w:hAnsi="Arial"/>
          <w:sz w:val="22"/>
          <w:szCs w:val="22"/>
        </w:rPr>
        <w:t>Low noise and vibration emissions thanks to sound-optimized appliance design</w:t>
      </w:r>
    </w:p>
    <w:p w:rsidR="001A1F2B" w:rsidRDefault="00EC2DFA">
      <w:pPr>
        <w:numPr>
          <w:ilvl w:val="0"/>
          <w:numId w:val="1"/>
        </w:numPr>
        <w:spacing w:after="0"/>
        <w:rPr>
          <w:rFonts w:ascii="Arial" w:eastAsia="Arial" w:hAnsi="Arial" w:cs="Arial"/>
          <w:sz w:val="22"/>
          <w:szCs w:val="22"/>
        </w:rPr>
      </w:pPr>
      <w:r>
        <w:rPr>
          <w:rFonts w:ascii="Arial" w:hAnsi="Arial"/>
          <w:sz w:val="22"/>
          <w:szCs w:val="22"/>
        </w:rPr>
        <w:t>Intuitive, easy-to-use</w:t>
      </w:r>
      <w:r w:rsidR="00D9527F">
        <w:rPr>
          <w:rFonts w:ascii="Arial" w:hAnsi="Arial"/>
          <w:sz w:val="22"/>
          <w:szCs w:val="22"/>
        </w:rPr>
        <w:t xml:space="preserve"> control unit via touchscreen and graphic display</w:t>
      </w:r>
    </w:p>
    <w:p w:rsidR="001A1F2B" w:rsidRDefault="00D9527F">
      <w:pPr>
        <w:numPr>
          <w:ilvl w:val="0"/>
          <w:numId w:val="1"/>
        </w:numPr>
        <w:rPr>
          <w:rFonts w:ascii="Arial" w:eastAsia="Arial" w:hAnsi="Arial" w:cs="Arial"/>
          <w:sz w:val="22"/>
          <w:szCs w:val="22"/>
        </w:rPr>
      </w:pPr>
      <w:r>
        <w:rPr>
          <w:rFonts w:ascii="Arial" w:hAnsi="Arial"/>
          <w:sz w:val="22"/>
          <w:szCs w:val="22"/>
        </w:rPr>
        <w:t>Reliability ensured by means of factory-adjusted heat test with functional and performance tests</w:t>
      </w:r>
    </w:p>
    <w:p w:rsidR="001A1F2B" w:rsidRDefault="001A1F2B">
      <w:pPr>
        <w:rPr>
          <w:rFonts w:ascii="Arial" w:eastAsia="Arial" w:hAnsi="Arial" w:cs="Arial"/>
          <w:sz w:val="22"/>
          <w:szCs w:val="22"/>
        </w:rPr>
      </w:pPr>
    </w:p>
    <w:p w:rsidR="001A1F2B" w:rsidRDefault="00D9527F">
      <w:pPr>
        <w:rPr>
          <w:rFonts w:ascii="Arial" w:eastAsia="Arial" w:hAnsi="Arial" w:cs="Arial"/>
          <w:b/>
          <w:sz w:val="22"/>
          <w:szCs w:val="22"/>
        </w:rPr>
      </w:pPr>
      <w:r>
        <w:rPr>
          <w:rFonts w:ascii="Arial" w:hAnsi="Arial"/>
          <w:b/>
          <w:sz w:val="22"/>
          <w:szCs w:val="22"/>
        </w:rPr>
        <w:t>Technical data</w:t>
      </w:r>
    </w:p>
    <w:p w:rsidR="001A1F2B" w:rsidRDefault="00D9527F">
      <w:pPr>
        <w:numPr>
          <w:ilvl w:val="0"/>
          <w:numId w:val="3"/>
        </w:numPr>
        <w:spacing w:after="0"/>
        <w:rPr>
          <w:rFonts w:ascii="Arial" w:eastAsia="Arial" w:hAnsi="Arial" w:cs="Arial"/>
          <w:sz w:val="22"/>
          <w:szCs w:val="22"/>
        </w:rPr>
      </w:pPr>
      <w:r>
        <w:rPr>
          <w:rFonts w:ascii="Arial" w:hAnsi="Arial"/>
          <w:sz w:val="22"/>
          <w:szCs w:val="22"/>
        </w:rPr>
        <w:t>Output:</w:t>
      </w:r>
      <w:r>
        <w:rPr>
          <w:rFonts w:ascii="Arial" w:hAnsi="Arial"/>
          <w:sz w:val="22"/>
          <w:szCs w:val="22"/>
        </w:rPr>
        <w:tab/>
        <w:t>27 - 198 kW (brine/water) and</w:t>
      </w:r>
      <w:r>
        <w:rPr>
          <w:rFonts w:ascii="Arial" w:hAnsi="Arial"/>
          <w:sz w:val="22"/>
          <w:szCs w:val="22"/>
        </w:rPr>
        <w:br/>
      </w:r>
      <w:r>
        <w:rPr>
          <w:rFonts w:ascii="Arial" w:hAnsi="Arial"/>
          <w:sz w:val="22"/>
          <w:szCs w:val="22"/>
        </w:rPr>
        <w:tab/>
      </w:r>
      <w:r>
        <w:rPr>
          <w:rFonts w:ascii="Arial" w:hAnsi="Arial"/>
          <w:sz w:val="22"/>
          <w:szCs w:val="22"/>
        </w:rPr>
        <w:tab/>
        <w:t>37 - 274 kW (water/water)</w:t>
      </w:r>
    </w:p>
    <w:p w:rsidR="001A1F2B" w:rsidRDefault="00D9527F">
      <w:pPr>
        <w:numPr>
          <w:ilvl w:val="0"/>
          <w:numId w:val="3"/>
        </w:numPr>
        <w:spacing w:after="0"/>
        <w:rPr>
          <w:rFonts w:ascii="Arial" w:eastAsia="Arial" w:hAnsi="Arial" w:cs="Arial"/>
          <w:sz w:val="22"/>
          <w:szCs w:val="22"/>
        </w:rPr>
      </w:pPr>
      <w:r>
        <w:rPr>
          <w:rFonts w:ascii="Arial" w:hAnsi="Arial"/>
          <w:sz w:val="22"/>
          <w:szCs w:val="22"/>
        </w:rPr>
        <w:t>Flow temperature of up to 73°C</w:t>
      </w:r>
    </w:p>
    <w:p w:rsidR="001A1F2B" w:rsidRDefault="00D9527F">
      <w:pPr>
        <w:numPr>
          <w:ilvl w:val="0"/>
          <w:numId w:val="3"/>
        </w:numPr>
        <w:spacing w:after="0"/>
        <w:rPr>
          <w:rFonts w:ascii="Arial" w:eastAsia="Arial" w:hAnsi="Arial" w:cs="Arial"/>
          <w:sz w:val="22"/>
          <w:szCs w:val="22"/>
        </w:rPr>
      </w:pPr>
      <w:r>
        <w:rPr>
          <w:rFonts w:ascii="Arial" w:hAnsi="Arial"/>
          <w:sz w:val="22"/>
          <w:szCs w:val="22"/>
        </w:rPr>
        <w:t>COP up to 4.4 (at B0/W35°C in accordance with EN 14511)</w:t>
      </w:r>
    </w:p>
    <w:p w:rsidR="001A1F2B" w:rsidRDefault="00D9527F">
      <w:pPr>
        <w:numPr>
          <w:ilvl w:val="0"/>
          <w:numId w:val="3"/>
        </w:numPr>
        <w:spacing w:after="0"/>
        <w:rPr>
          <w:rFonts w:ascii="Arial" w:eastAsia="Arial" w:hAnsi="Arial" w:cs="Arial"/>
          <w:sz w:val="22"/>
          <w:szCs w:val="22"/>
        </w:rPr>
      </w:pPr>
      <w:r>
        <w:rPr>
          <w:rFonts w:ascii="Arial" w:hAnsi="Arial"/>
          <w:sz w:val="22"/>
          <w:szCs w:val="22"/>
        </w:rPr>
        <w:t>Length x width x height: 2816 x 911 x 1650 mm (type BW 353.B198)</w:t>
      </w:r>
    </w:p>
    <w:p w:rsidR="001A1F2B" w:rsidRDefault="00D9527F">
      <w:pPr>
        <w:numPr>
          <w:ilvl w:val="0"/>
          <w:numId w:val="3"/>
        </w:numPr>
        <w:spacing w:after="0"/>
        <w:rPr>
          <w:rFonts w:ascii="Arial" w:eastAsia="Arial" w:hAnsi="Arial" w:cs="Arial"/>
          <w:sz w:val="22"/>
          <w:szCs w:val="22"/>
        </w:rPr>
      </w:pPr>
      <w:r>
        <w:rPr>
          <w:rFonts w:ascii="Arial" w:hAnsi="Arial"/>
          <w:sz w:val="22"/>
          <w:szCs w:val="22"/>
        </w:rPr>
        <w:t>Weight: 1678 kg (type BW 353.B198)</w:t>
      </w:r>
    </w:p>
    <w:p w:rsidR="001A1F2B" w:rsidRDefault="00D9527F">
      <w:pPr>
        <w:numPr>
          <w:ilvl w:val="0"/>
          <w:numId w:val="3"/>
        </w:numPr>
        <w:rPr>
          <w:rFonts w:ascii="Arial" w:eastAsia="Arial" w:hAnsi="Arial" w:cs="Arial"/>
          <w:sz w:val="22"/>
          <w:szCs w:val="22"/>
        </w:rPr>
      </w:pPr>
      <w:r>
        <w:rPr>
          <w:rFonts w:ascii="Arial" w:hAnsi="Arial"/>
          <w:sz w:val="22"/>
          <w:szCs w:val="22"/>
        </w:rPr>
        <w:t>Energy efficiency category: A++</w:t>
      </w:r>
    </w:p>
    <w:p w:rsidR="001A1F2B" w:rsidRDefault="00D9527F">
      <w:pPr>
        <w:rPr>
          <w:rFonts w:ascii="Arial" w:eastAsia="Arial" w:hAnsi="Arial" w:cs="Arial"/>
          <w:b/>
          <w:sz w:val="22"/>
          <w:szCs w:val="22"/>
        </w:rPr>
      </w:pPr>
      <w:r>
        <w:rPr>
          <w:rFonts w:ascii="Arial" w:hAnsi="Arial"/>
          <w:sz w:val="22"/>
          <w:szCs w:val="22"/>
        </w:rPr>
        <w:br/>
      </w:r>
      <w:r>
        <w:rPr>
          <w:rFonts w:ascii="Arial" w:hAnsi="Arial"/>
          <w:b/>
          <w:sz w:val="22"/>
          <w:szCs w:val="22"/>
        </w:rPr>
        <w:t>Market launch</w:t>
      </w:r>
    </w:p>
    <w:p w:rsidR="001A1F2B" w:rsidRDefault="00EC2DFA">
      <w:pPr>
        <w:rPr>
          <w:rFonts w:ascii="Arial" w:eastAsia="Arial" w:hAnsi="Arial" w:cs="Arial"/>
          <w:sz w:val="22"/>
          <w:szCs w:val="22"/>
        </w:rPr>
      </w:pPr>
      <w:r>
        <w:rPr>
          <w:rFonts w:ascii="Arial" w:hAnsi="Arial"/>
          <w:sz w:val="22"/>
          <w:szCs w:val="22"/>
        </w:rPr>
        <w:t xml:space="preserve">The </w:t>
      </w:r>
      <w:proofErr w:type="spellStart"/>
      <w:r w:rsidR="00D9527F">
        <w:rPr>
          <w:rFonts w:ascii="Arial" w:hAnsi="Arial"/>
          <w:sz w:val="22"/>
          <w:szCs w:val="22"/>
        </w:rPr>
        <w:t>Vitocal</w:t>
      </w:r>
      <w:proofErr w:type="spellEnd"/>
      <w:r w:rsidR="00D9527F">
        <w:rPr>
          <w:rFonts w:ascii="Arial" w:hAnsi="Arial"/>
          <w:sz w:val="22"/>
          <w:szCs w:val="22"/>
        </w:rPr>
        <w:t xml:space="preserve"> 350-G Pro with new PLC-based </w:t>
      </w:r>
      <w:proofErr w:type="spellStart"/>
      <w:r w:rsidR="00D9527F">
        <w:rPr>
          <w:rFonts w:ascii="Arial" w:hAnsi="Arial"/>
          <w:sz w:val="22"/>
          <w:szCs w:val="22"/>
        </w:rPr>
        <w:t>Vitotronic</w:t>
      </w:r>
      <w:proofErr w:type="spellEnd"/>
      <w:r w:rsidR="00D9527F">
        <w:rPr>
          <w:rFonts w:ascii="Arial" w:hAnsi="Arial"/>
          <w:sz w:val="22"/>
          <w:szCs w:val="22"/>
        </w:rPr>
        <w:t xml:space="preserve"> </w:t>
      </w:r>
      <w:r>
        <w:rPr>
          <w:rFonts w:ascii="Arial" w:hAnsi="Arial"/>
          <w:sz w:val="22"/>
          <w:szCs w:val="22"/>
        </w:rPr>
        <w:t xml:space="preserve">will be available to order </w:t>
      </w:r>
      <w:r w:rsidR="00D9527F">
        <w:rPr>
          <w:rFonts w:ascii="Arial" w:hAnsi="Arial"/>
          <w:sz w:val="22"/>
          <w:szCs w:val="22"/>
        </w:rPr>
        <w:t>from August 2019.</w:t>
      </w:r>
    </w:p>
    <w:p w:rsidR="001A1F2B" w:rsidRDefault="00D9527F">
      <w:pPr>
        <w:rPr>
          <w:rFonts w:ascii="Arial" w:eastAsia="Arial" w:hAnsi="Arial" w:cs="Arial"/>
          <w:sz w:val="22"/>
          <w:szCs w:val="22"/>
        </w:rPr>
      </w:pPr>
      <w:r>
        <w:rPr>
          <w:rFonts w:ascii="Arial" w:hAnsi="Arial"/>
          <w:b/>
          <w:sz w:val="22"/>
          <w:szCs w:val="22"/>
        </w:rPr>
        <w:t>Images/captions</w:t>
      </w:r>
      <w:r>
        <w:rPr>
          <w:rFonts w:ascii="Arial" w:hAnsi="Arial"/>
          <w:sz w:val="22"/>
          <w:szCs w:val="22"/>
        </w:rPr>
        <w:br/>
      </w:r>
      <w:r>
        <w:rPr>
          <w:rFonts w:ascii="Arial" w:hAnsi="Arial"/>
          <w:sz w:val="22"/>
          <w:szCs w:val="22"/>
        </w:rPr>
        <w:br/>
      </w:r>
      <w:r>
        <w:rPr>
          <w:noProof/>
          <w:lang w:val="en-GB" w:eastAsia="en-GB"/>
        </w:rPr>
        <w:drawing>
          <wp:inline distT="114300" distB="114300" distL="114300" distR="114300">
            <wp:extent cx="2056059" cy="173799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056059" cy="1737995"/>
                    </a:xfrm>
                    <a:prstGeom prst="rect">
                      <a:avLst/>
                    </a:prstGeom>
                    <a:ln/>
                  </pic:spPr>
                </pic:pic>
              </a:graphicData>
            </a:graphic>
          </wp:inline>
        </w:drawing>
      </w:r>
    </w:p>
    <w:p w:rsidR="001A1F2B" w:rsidRDefault="00D9527F">
      <w:pPr>
        <w:rPr>
          <w:rFonts w:ascii="Arial" w:eastAsia="Arial" w:hAnsi="Arial" w:cs="Arial"/>
          <w:sz w:val="22"/>
          <w:szCs w:val="22"/>
        </w:rPr>
      </w:pPr>
      <w:r>
        <w:rPr>
          <w:rFonts w:ascii="Arial" w:hAnsi="Arial"/>
          <w:sz w:val="22"/>
          <w:szCs w:val="22"/>
        </w:rPr>
        <w:t>Image 1: Viessmann’s Vitocal 350-G Pro large heat pump is particularly suitable for hygienic DHW generation and radiator operation, delivering flow temperatures of up to 73°C.</w:t>
      </w:r>
    </w:p>
    <w:p w:rsidR="001A1F2B" w:rsidRDefault="001A1F2B">
      <w:pPr>
        <w:rPr>
          <w:rFonts w:ascii="Arial" w:eastAsia="Arial" w:hAnsi="Arial" w:cs="Arial"/>
          <w:sz w:val="22"/>
          <w:szCs w:val="22"/>
        </w:rPr>
      </w:pPr>
    </w:p>
    <w:p w:rsidR="001A1F2B" w:rsidRDefault="001A1F2B">
      <w:pPr>
        <w:rPr>
          <w:rFonts w:ascii="Arial" w:eastAsia="Arial" w:hAnsi="Arial" w:cs="Arial"/>
          <w:sz w:val="22"/>
          <w:szCs w:val="22"/>
        </w:rPr>
      </w:pPr>
    </w:p>
    <w:p w:rsidR="001A1F2B" w:rsidRPr="0059154E" w:rsidRDefault="00D9527F">
      <w:pPr>
        <w:rPr>
          <w:rFonts w:ascii="Arial" w:eastAsia="Arial" w:hAnsi="Arial" w:cs="Arial"/>
          <w:sz w:val="22"/>
          <w:szCs w:val="22"/>
          <w:lang w:val="de-DE"/>
        </w:rPr>
      </w:pPr>
      <w:r>
        <w:rPr>
          <w:rFonts w:ascii="Arial" w:hAnsi="Arial"/>
          <w:noProof/>
          <w:sz w:val="22"/>
          <w:szCs w:val="22"/>
          <w:lang w:val="en-GB" w:eastAsia="en-GB"/>
        </w:rPr>
        <w:drawing>
          <wp:inline distT="114300" distB="114300" distL="114300" distR="114300">
            <wp:extent cx="2805151" cy="1669733"/>
            <wp:effectExtent l="0" t="0" r="0" b="0"/>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2805151" cy="1669733"/>
                    </a:xfrm>
                    <a:prstGeom prst="rect">
                      <a:avLst/>
                    </a:prstGeom>
                    <a:ln/>
                  </pic:spPr>
                </pic:pic>
              </a:graphicData>
            </a:graphic>
          </wp:inline>
        </w:drawing>
      </w:r>
      <w:r>
        <w:rPr>
          <w:rFonts w:ascii="Arial" w:hAnsi="Arial"/>
          <w:sz w:val="22"/>
          <w:szCs w:val="22"/>
        </w:rPr>
        <w:br/>
        <w:t>Image 2: The new Vitotronic PLC (type 2.0) with large 7</w:t>
      </w:r>
      <w:r w:rsidR="00EC2DFA">
        <w:rPr>
          <w:rFonts w:ascii="Arial" w:hAnsi="Arial"/>
          <w:sz w:val="22"/>
          <w:szCs w:val="22"/>
        </w:rPr>
        <w:t xml:space="preserve">" </w:t>
      </w:r>
      <w:r>
        <w:rPr>
          <w:rFonts w:ascii="Arial" w:hAnsi="Arial"/>
          <w:sz w:val="22"/>
          <w:szCs w:val="22"/>
        </w:rPr>
        <w:t>color touch display permits remote maintenance of Viessmann’s Vitocal 350-G Pro heat pump.</w:t>
      </w:r>
      <w:r>
        <w:rPr>
          <w:rFonts w:ascii="Arial" w:hAnsi="Arial"/>
          <w:sz w:val="22"/>
          <w:szCs w:val="22"/>
        </w:rPr>
        <w:br/>
      </w:r>
      <w:r>
        <w:rPr>
          <w:rFonts w:ascii="Arial" w:hAnsi="Arial"/>
          <w:sz w:val="22"/>
          <w:szCs w:val="22"/>
        </w:rPr>
        <w:br/>
      </w:r>
      <w:r>
        <w:rPr>
          <w:rFonts w:ascii="Arial" w:hAnsi="Arial"/>
          <w:sz w:val="22"/>
          <w:szCs w:val="22"/>
        </w:rPr>
        <w:br/>
      </w:r>
      <w:r w:rsidRPr="0059154E">
        <w:rPr>
          <w:rFonts w:ascii="Arial" w:hAnsi="Arial"/>
          <w:sz w:val="22"/>
          <w:szCs w:val="22"/>
          <w:lang w:val="de-DE"/>
        </w:rPr>
        <w:t>March 2019</w:t>
      </w:r>
      <w:r w:rsidRPr="0059154E">
        <w:rPr>
          <w:rFonts w:ascii="Arial" w:hAnsi="Arial"/>
          <w:sz w:val="22"/>
          <w:szCs w:val="22"/>
          <w:lang w:val="de-DE"/>
        </w:rPr>
        <w:br/>
      </w:r>
    </w:p>
    <w:p w:rsidR="001A1F2B" w:rsidRPr="0059154E" w:rsidRDefault="001A1F2B">
      <w:pPr>
        <w:widowControl w:val="0"/>
        <w:spacing w:after="0"/>
        <w:rPr>
          <w:rFonts w:ascii="Arial" w:eastAsia="Arial" w:hAnsi="Arial" w:cs="Arial"/>
          <w:sz w:val="22"/>
          <w:szCs w:val="22"/>
          <w:lang w:val="de-DE"/>
        </w:rPr>
      </w:pPr>
    </w:p>
    <w:p w:rsidR="001A1F2B" w:rsidRPr="0059154E" w:rsidRDefault="001A1F2B">
      <w:pPr>
        <w:widowControl w:val="0"/>
        <w:spacing w:after="0"/>
        <w:rPr>
          <w:rFonts w:ascii="Arial" w:eastAsia="Arial" w:hAnsi="Arial" w:cs="Arial"/>
          <w:sz w:val="22"/>
          <w:szCs w:val="22"/>
          <w:lang w:val="de-DE"/>
        </w:rPr>
      </w:pPr>
    </w:p>
    <w:p w:rsidR="0059154E" w:rsidRPr="0059154E" w:rsidRDefault="0059154E">
      <w:pPr>
        <w:widowControl w:val="0"/>
        <w:spacing w:after="0"/>
        <w:rPr>
          <w:rFonts w:ascii="Arial" w:eastAsia="Arial" w:hAnsi="Arial" w:cs="Arial"/>
          <w:sz w:val="22"/>
          <w:szCs w:val="22"/>
          <w:lang w:val="de-DE"/>
        </w:rPr>
      </w:pPr>
    </w:p>
    <w:p w:rsidR="0059154E" w:rsidRPr="0059154E" w:rsidRDefault="0059154E">
      <w:pPr>
        <w:widowControl w:val="0"/>
        <w:spacing w:after="0"/>
        <w:rPr>
          <w:rFonts w:ascii="Arial" w:eastAsia="Arial" w:hAnsi="Arial" w:cs="Arial"/>
          <w:sz w:val="22"/>
          <w:szCs w:val="22"/>
          <w:lang w:val="de-DE"/>
        </w:rPr>
      </w:pPr>
    </w:p>
    <w:p w:rsidR="0059154E" w:rsidRPr="0059154E" w:rsidRDefault="0059154E">
      <w:pPr>
        <w:widowControl w:val="0"/>
        <w:spacing w:after="0"/>
        <w:rPr>
          <w:rFonts w:ascii="Arial" w:eastAsia="Arial" w:hAnsi="Arial" w:cs="Arial"/>
          <w:sz w:val="22"/>
          <w:szCs w:val="22"/>
          <w:lang w:val="de-DE"/>
        </w:rPr>
      </w:pPr>
    </w:p>
    <w:p w:rsidR="0059154E" w:rsidRPr="0059154E" w:rsidRDefault="0059154E">
      <w:pPr>
        <w:widowControl w:val="0"/>
        <w:spacing w:after="0"/>
        <w:rPr>
          <w:rFonts w:ascii="Arial" w:eastAsia="Arial" w:hAnsi="Arial" w:cs="Arial"/>
          <w:sz w:val="22"/>
          <w:szCs w:val="22"/>
          <w:lang w:val="de-DE"/>
        </w:rPr>
      </w:pPr>
    </w:p>
    <w:p w:rsidR="0059154E" w:rsidRPr="0059154E" w:rsidRDefault="0059154E">
      <w:pPr>
        <w:widowControl w:val="0"/>
        <w:spacing w:after="0"/>
        <w:rPr>
          <w:rFonts w:ascii="Arial" w:eastAsia="Arial" w:hAnsi="Arial" w:cs="Arial"/>
          <w:sz w:val="22"/>
          <w:szCs w:val="22"/>
          <w:lang w:val="de-DE"/>
        </w:rPr>
      </w:pPr>
    </w:p>
    <w:p w:rsidR="0059154E" w:rsidRPr="0059154E" w:rsidRDefault="0059154E">
      <w:pPr>
        <w:widowControl w:val="0"/>
        <w:spacing w:after="0"/>
        <w:rPr>
          <w:rFonts w:ascii="Arial" w:eastAsia="Arial" w:hAnsi="Arial" w:cs="Arial"/>
          <w:sz w:val="22"/>
          <w:szCs w:val="22"/>
          <w:lang w:val="de-DE"/>
        </w:rPr>
      </w:pPr>
    </w:p>
    <w:p w:rsidR="0059154E" w:rsidRPr="0059154E" w:rsidRDefault="0059154E">
      <w:pPr>
        <w:widowControl w:val="0"/>
        <w:spacing w:after="0"/>
        <w:rPr>
          <w:rFonts w:ascii="Arial" w:eastAsia="Arial" w:hAnsi="Arial" w:cs="Arial"/>
          <w:sz w:val="22"/>
          <w:szCs w:val="22"/>
          <w:lang w:val="de-DE"/>
        </w:rPr>
      </w:pPr>
    </w:p>
    <w:p w:rsidR="0059154E" w:rsidRPr="0059154E" w:rsidRDefault="0059154E">
      <w:pPr>
        <w:widowControl w:val="0"/>
        <w:spacing w:after="0"/>
        <w:rPr>
          <w:rFonts w:ascii="Arial" w:eastAsia="Arial" w:hAnsi="Arial" w:cs="Arial"/>
          <w:sz w:val="22"/>
          <w:szCs w:val="22"/>
          <w:lang w:val="de-DE"/>
        </w:rPr>
      </w:pPr>
    </w:p>
    <w:p w:rsidR="0059154E" w:rsidRPr="0059154E" w:rsidRDefault="0059154E">
      <w:pPr>
        <w:widowControl w:val="0"/>
        <w:spacing w:after="0"/>
        <w:rPr>
          <w:rFonts w:ascii="Arial" w:eastAsia="Arial" w:hAnsi="Arial" w:cs="Arial"/>
          <w:sz w:val="22"/>
          <w:szCs w:val="22"/>
          <w:lang w:val="de-DE"/>
        </w:rPr>
      </w:pPr>
    </w:p>
    <w:p w:rsidR="0059154E" w:rsidRPr="0059154E" w:rsidRDefault="0059154E">
      <w:pPr>
        <w:widowControl w:val="0"/>
        <w:spacing w:after="0"/>
        <w:rPr>
          <w:rFonts w:ascii="Arial" w:eastAsia="Arial" w:hAnsi="Arial" w:cs="Arial"/>
          <w:sz w:val="22"/>
          <w:szCs w:val="22"/>
          <w:lang w:val="de-DE"/>
        </w:rPr>
      </w:pPr>
    </w:p>
    <w:p w:rsidR="0059154E" w:rsidRPr="0059154E" w:rsidRDefault="0059154E">
      <w:pPr>
        <w:widowControl w:val="0"/>
        <w:spacing w:after="0"/>
        <w:rPr>
          <w:rFonts w:ascii="Arial" w:eastAsia="Arial" w:hAnsi="Arial" w:cs="Arial"/>
          <w:sz w:val="22"/>
          <w:szCs w:val="22"/>
          <w:lang w:val="de-DE"/>
        </w:rPr>
      </w:pPr>
    </w:p>
    <w:p w:rsidR="0059154E" w:rsidRPr="0059154E" w:rsidRDefault="0059154E">
      <w:pPr>
        <w:widowControl w:val="0"/>
        <w:spacing w:after="0"/>
        <w:rPr>
          <w:rFonts w:ascii="Arial" w:eastAsia="Arial" w:hAnsi="Arial" w:cs="Arial"/>
          <w:sz w:val="22"/>
          <w:szCs w:val="22"/>
          <w:lang w:val="de-DE"/>
        </w:rPr>
      </w:pPr>
    </w:p>
    <w:p w:rsidR="0059154E" w:rsidRPr="0059154E" w:rsidRDefault="0059154E">
      <w:pPr>
        <w:widowControl w:val="0"/>
        <w:spacing w:after="0"/>
        <w:rPr>
          <w:rFonts w:ascii="Arial" w:eastAsia="Arial" w:hAnsi="Arial" w:cs="Arial"/>
          <w:sz w:val="22"/>
          <w:szCs w:val="22"/>
          <w:lang w:val="de-DE"/>
        </w:rPr>
      </w:pPr>
    </w:p>
    <w:p w:rsidR="0059154E" w:rsidRPr="0059154E" w:rsidRDefault="0059154E">
      <w:pPr>
        <w:widowControl w:val="0"/>
        <w:spacing w:after="0"/>
        <w:rPr>
          <w:rFonts w:ascii="Arial" w:eastAsia="Arial" w:hAnsi="Arial" w:cs="Arial"/>
          <w:sz w:val="22"/>
          <w:szCs w:val="22"/>
          <w:lang w:val="de-DE"/>
        </w:rPr>
      </w:pPr>
    </w:p>
    <w:p w:rsidR="0059154E" w:rsidRPr="0059154E" w:rsidRDefault="0059154E">
      <w:pPr>
        <w:widowControl w:val="0"/>
        <w:spacing w:after="0"/>
        <w:rPr>
          <w:rFonts w:ascii="Arial" w:eastAsia="Arial" w:hAnsi="Arial" w:cs="Arial"/>
          <w:sz w:val="22"/>
          <w:szCs w:val="22"/>
          <w:lang w:val="de-DE"/>
        </w:rPr>
      </w:pPr>
    </w:p>
    <w:p w:rsidR="0059154E" w:rsidRPr="0059154E" w:rsidRDefault="0059154E">
      <w:pPr>
        <w:widowControl w:val="0"/>
        <w:spacing w:after="0"/>
        <w:rPr>
          <w:rFonts w:ascii="Arial" w:eastAsia="Arial" w:hAnsi="Arial" w:cs="Arial"/>
          <w:sz w:val="22"/>
          <w:szCs w:val="22"/>
          <w:lang w:val="de-DE"/>
        </w:rPr>
      </w:pPr>
    </w:p>
    <w:p w:rsidR="0059154E" w:rsidRPr="0059154E" w:rsidRDefault="0059154E">
      <w:pPr>
        <w:widowControl w:val="0"/>
        <w:spacing w:after="0"/>
        <w:rPr>
          <w:rFonts w:ascii="Arial" w:eastAsia="Arial" w:hAnsi="Arial" w:cs="Arial"/>
          <w:sz w:val="22"/>
          <w:szCs w:val="22"/>
          <w:lang w:val="de-DE"/>
        </w:rPr>
      </w:pPr>
    </w:p>
    <w:p w:rsidR="0059154E" w:rsidRPr="0059154E" w:rsidRDefault="0059154E">
      <w:pPr>
        <w:widowControl w:val="0"/>
        <w:spacing w:after="0"/>
        <w:rPr>
          <w:rFonts w:ascii="Arial" w:eastAsia="Arial" w:hAnsi="Arial" w:cs="Arial"/>
          <w:sz w:val="22"/>
          <w:szCs w:val="22"/>
          <w:lang w:val="de-DE"/>
        </w:rPr>
      </w:pPr>
    </w:p>
    <w:p w:rsidR="0059154E" w:rsidRPr="0059154E" w:rsidRDefault="0059154E">
      <w:pPr>
        <w:widowControl w:val="0"/>
        <w:spacing w:after="0"/>
        <w:rPr>
          <w:rFonts w:ascii="Arial" w:eastAsia="Arial" w:hAnsi="Arial" w:cs="Arial"/>
          <w:sz w:val="22"/>
          <w:szCs w:val="22"/>
          <w:lang w:val="de-DE"/>
        </w:rPr>
      </w:pPr>
    </w:p>
    <w:p w:rsidR="001A1F2B" w:rsidRPr="0059154E" w:rsidRDefault="001A1F2B">
      <w:pPr>
        <w:widowControl w:val="0"/>
        <w:spacing w:after="0"/>
        <w:rPr>
          <w:rFonts w:ascii="Arial" w:eastAsia="Arial" w:hAnsi="Arial" w:cs="Arial"/>
          <w:sz w:val="22"/>
          <w:szCs w:val="22"/>
          <w:lang w:val="de-DE"/>
        </w:rPr>
      </w:pPr>
    </w:p>
    <w:p w:rsidR="001A1F2B" w:rsidRPr="0059154E" w:rsidRDefault="001A1F2B">
      <w:pPr>
        <w:widowControl w:val="0"/>
        <w:spacing w:after="0"/>
        <w:rPr>
          <w:rFonts w:ascii="Arial" w:eastAsia="Arial" w:hAnsi="Arial" w:cs="Arial"/>
          <w:sz w:val="22"/>
          <w:szCs w:val="22"/>
          <w:lang w:val="de-DE"/>
        </w:rPr>
      </w:pPr>
    </w:p>
    <w:p w:rsidR="001A1F2B" w:rsidRPr="0059154E" w:rsidRDefault="00D9527F">
      <w:pPr>
        <w:widowControl w:val="0"/>
        <w:spacing w:after="0"/>
        <w:rPr>
          <w:rFonts w:ascii="Arial" w:eastAsia="Arial" w:hAnsi="Arial" w:cs="Arial"/>
          <w:color w:val="999999"/>
          <w:sz w:val="18"/>
          <w:szCs w:val="18"/>
          <w:lang w:val="de-DE"/>
        </w:rPr>
      </w:pPr>
      <w:r w:rsidRPr="0059154E">
        <w:rPr>
          <w:rFonts w:ascii="Arial" w:hAnsi="Arial"/>
          <w:color w:val="999999"/>
          <w:sz w:val="18"/>
          <w:szCs w:val="18"/>
          <w:lang w:val="de-DE"/>
        </w:rPr>
        <w:t>Viessmann Werke GmbH &amp; Co. KG</w:t>
      </w:r>
    </w:p>
    <w:p w:rsidR="001A1F2B" w:rsidRPr="009E67DD" w:rsidRDefault="00D9527F">
      <w:pPr>
        <w:widowControl w:val="0"/>
        <w:spacing w:after="0"/>
        <w:rPr>
          <w:rFonts w:ascii="Arial" w:eastAsia="Arial" w:hAnsi="Arial" w:cs="Arial"/>
          <w:color w:val="999999"/>
          <w:sz w:val="18"/>
          <w:szCs w:val="18"/>
          <w:lang w:val="de-DE"/>
        </w:rPr>
      </w:pPr>
      <w:r w:rsidRPr="009E67DD">
        <w:rPr>
          <w:rFonts w:ascii="Arial" w:hAnsi="Arial"/>
          <w:color w:val="999999"/>
          <w:sz w:val="18"/>
          <w:szCs w:val="18"/>
          <w:lang w:val="de-DE"/>
        </w:rPr>
        <w:t xml:space="preserve">35107 </w:t>
      </w:r>
      <w:proofErr w:type="spellStart"/>
      <w:r w:rsidRPr="009E67DD">
        <w:rPr>
          <w:rFonts w:ascii="Arial" w:hAnsi="Arial"/>
          <w:color w:val="999999"/>
          <w:sz w:val="18"/>
          <w:szCs w:val="18"/>
          <w:lang w:val="de-DE"/>
        </w:rPr>
        <w:t>Allendorf</w:t>
      </w:r>
      <w:proofErr w:type="spellEnd"/>
      <w:r w:rsidRPr="009E67DD">
        <w:rPr>
          <w:rFonts w:ascii="Arial" w:hAnsi="Arial"/>
          <w:color w:val="999999"/>
          <w:sz w:val="18"/>
          <w:szCs w:val="18"/>
          <w:lang w:val="de-DE"/>
        </w:rPr>
        <w:t xml:space="preserve"> (Eder)</w:t>
      </w:r>
    </w:p>
    <w:p w:rsidR="001A1F2B" w:rsidRPr="009E67DD" w:rsidRDefault="00D9527F">
      <w:pPr>
        <w:widowControl w:val="0"/>
        <w:spacing w:after="0"/>
        <w:rPr>
          <w:rFonts w:ascii="Arial" w:eastAsia="Arial" w:hAnsi="Arial" w:cs="Arial"/>
          <w:color w:val="999999"/>
          <w:sz w:val="18"/>
          <w:szCs w:val="18"/>
          <w:lang w:val="de-DE"/>
        </w:rPr>
      </w:pPr>
      <w:r w:rsidRPr="009E67DD">
        <w:rPr>
          <w:rFonts w:ascii="Arial" w:hAnsi="Arial"/>
          <w:color w:val="999999"/>
          <w:sz w:val="18"/>
          <w:szCs w:val="18"/>
          <w:lang w:val="de-DE"/>
        </w:rPr>
        <w:t>Tel.: +49 (0)6452 702533</w:t>
      </w:r>
    </w:p>
    <w:p w:rsidR="001A1F2B" w:rsidRPr="009E67DD" w:rsidRDefault="00D9527F">
      <w:pPr>
        <w:widowControl w:val="0"/>
        <w:spacing w:after="0"/>
        <w:rPr>
          <w:rFonts w:ascii="Arial" w:eastAsia="Arial" w:hAnsi="Arial" w:cs="Arial"/>
          <w:color w:val="999999"/>
          <w:sz w:val="18"/>
          <w:szCs w:val="18"/>
          <w:lang w:val="de-DE"/>
        </w:rPr>
      </w:pPr>
      <w:r w:rsidRPr="009E67DD">
        <w:rPr>
          <w:rFonts w:ascii="Arial" w:hAnsi="Arial"/>
          <w:color w:val="999999"/>
          <w:sz w:val="18"/>
          <w:szCs w:val="18"/>
          <w:lang w:val="de-DE"/>
        </w:rPr>
        <w:t>info-pr@viessmann.de</w:t>
      </w:r>
    </w:p>
    <w:p w:rsidR="001A1F2B" w:rsidRDefault="00D9527F">
      <w:pPr>
        <w:widowControl w:val="0"/>
        <w:spacing w:after="0"/>
        <w:rPr>
          <w:rFonts w:ascii="Arial" w:eastAsia="Arial" w:hAnsi="Arial" w:cs="Arial"/>
          <w:sz w:val="22"/>
          <w:szCs w:val="22"/>
        </w:rPr>
      </w:pPr>
      <w:r>
        <w:rPr>
          <w:rFonts w:ascii="Arial" w:hAnsi="Arial"/>
          <w:color w:val="999999"/>
          <w:sz w:val="18"/>
          <w:szCs w:val="18"/>
        </w:rPr>
        <w:t>www.viessmann.de</w:t>
      </w:r>
    </w:p>
    <w:sectPr w:rsidR="001A1F2B">
      <w:headerReference w:type="default" r:id="rId10"/>
      <w:footerReference w:type="default" r:id="rId11"/>
      <w:pgSz w:w="11900" w:h="16840"/>
      <w:pgMar w:top="3402" w:right="1130" w:bottom="851"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872" w:rsidRDefault="00A00872">
      <w:pPr>
        <w:spacing w:after="0"/>
      </w:pPr>
      <w:r>
        <w:separator/>
      </w:r>
    </w:p>
  </w:endnote>
  <w:endnote w:type="continuationSeparator" w:id="0">
    <w:p w:rsidR="00A00872" w:rsidRDefault="00A008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F2B" w:rsidRDefault="001A1F2B">
    <w:pPr>
      <w:pBdr>
        <w:top w:val="nil"/>
        <w:left w:val="nil"/>
        <w:bottom w:val="nil"/>
        <w:right w:val="nil"/>
        <w:between w:val="nil"/>
      </w:pBdr>
      <w:tabs>
        <w:tab w:val="center" w:pos="4536"/>
        <w:tab w:val="right" w:pos="9072"/>
      </w:tabs>
      <w:spacing w:after="0"/>
      <w:ind w:left="9356"/>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872" w:rsidRDefault="00A00872">
      <w:pPr>
        <w:spacing w:after="0"/>
      </w:pPr>
      <w:r>
        <w:separator/>
      </w:r>
    </w:p>
  </w:footnote>
  <w:footnote w:type="continuationSeparator" w:id="0">
    <w:p w:rsidR="00A00872" w:rsidRDefault="00A008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F2B" w:rsidRDefault="00D9527F">
    <w:pPr>
      <w:pBdr>
        <w:top w:val="nil"/>
        <w:left w:val="nil"/>
        <w:bottom w:val="nil"/>
        <w:right w:val="nil"/>
        <w:between w:val="nil"/>
      </w:pBdr>
      <w:tabs>
        <w:tab w:val="center" w:pos="4536"/>
        <w:tab w:val="right" w:pos="9072"/>
      </w:tabs>
      <w:spacing w:after="0"/>
      <w:rPr>
        <w:rFonts w:ascii="Arial" w:eastAsia="Arial" w:hAnsi="Arial" w:cs="Arial"/>
        <w:b/>
        <w:sz w:val="52"/>
        <w:szCs w:val="52"/>
      </w:rPr>
    </w:pPr>
    <w:r>
      <w:rPr>
        <w:noProof/>
        <w:lang w:val="en-GB" w:eastAsia="en-GB"/>
      </w:rPr>
      <w:drawing>
        <wp:anchor distT="457200" distB="457200" distL="457200" distR="457200" simplePos="0" relativeHeight="251658240" behindDoc="0" locked="0" layoutInCell="1" hidden="0" allowOverlap="1">
          <wp:simplePos x="0" y="0"/>
          <wp:positionH relativeFrom="column">
            <wp:posOffset>4325195</wp:posOffset>
          </wp:positionH>
          <wp:positionV relativeFrom="paragraph">
            <wp:posOffset>52388</wp:posOffset>
          </wp:positionV>
          <wp:extent cx="1620000" cy="343431"/>
          <wp:effectExtent l="0" t="0" r="0" b="0"/>
          <wp:wrapSquare wrapText="bothSides" distT="457200" distB="457200" distL="457200" distR="45720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620000" cy="343431"/>
                  </a:xfrm>
                  <a:prstGeom prst="rect">
                    <a:avLst/>
                  </a:prstGeom>
                  <a:ln/>
                </pic:spPr>
              </pic:pic>
            </a:graphicData>
          </a:graphic>
        </wp:anchor>
      </w:drawing>
    </w:r>
  </w:p>
  <w:p w:rsidR="001A1F2B" w:rsidRDefault="00D9527F">
    <w:pPr>
      <w:widowControl w:val="0"/>
      <w:spacing w:after="0" w:line="280" w:lineRule="auto"/>
      <w:rPr>
        <w:rFonts w:ascii="Arial" w:eastAsia="Arial" w:hAnsi="Arial" w:cs="Arial"/>
        <w:b/>
        <w:sz w:val="28"/>
        <w:szCs w:val="28"/>
      </w:rPr>
    </w:pPr>
    <w:r>
      <w:rPr>
        <w:noProof/>
        <w:lang w:val="en-GB" w:eastAsia="en-GB"/>
      </w:rPr>
      <w:drawing>
        <wp:anchor distT="114300" distB="114300" distL="114300" distR="114300" simplePos="0" relativeHeight="251659264" behindDoc="0" locked="0" layoutInCell="1" hidden="0" allowOverlap="1">
          <wp:simplePos x="0" y="0"/>
          <wp:positionH relativeFrom="column">
            <wp:posOffset>-23812</wp:posOffset>
          </wp:positionH>
          <wp:positionV relativeFrom="paragraph">
            <wp:posOffset>357187</wp:posOffset>
          </wp:positionV>
          <wp:extent cx="889000" cy="342900"/>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89000" cy="342900"/>
                  </a:xfrm>
                  <a:prstGeom prst="rect">
                    <a:avLst/>
                  </a:prstGeom>
                  <a:ln/>
                </pic:spPr>
              </pic:pic>
            </a:graphicData>
          </a:graphic>
        </wp:anchor>
      </w:drawing>
    </w:r>
    <w:r>
      <w:rPr>
        <w:noProof/>
        <w:lang w:val="en-GB" w:eastAsia="en-GB"/>
      </w:rPr>
      <w:drawing>
        <wp:anchor distT="114300" distB="114300" distL="114300" distR="114300" simplePos="0" relativeHeight="251660288" behindDoc="0" locked="0" layoutInCell="1" hidden="0" allowOverlap="1">
          <wp:simplePos x="0" y="0"/>
          <wp:positionH relativeFrom="column">
            <wp:posOffset>424</wp:posOffset>
          </wp:positionH>
          <wp:positionV relativeFrom="paragraph">
            <wp:posOffset>723900</wp:posOffset>
          </wp:positionV>
          <wp:extent cx="5944445" cy="12700"/>
          <wp:effectExtent l="0" t="0" r="0" b="0"/>
          <wp:wrapSquare wrapText="bothSides" distT="114300" distB="114300" distL="114300" distR="11430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5944445" cy="127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B6FFF"/>
    <w:multiLevelType w:val="multilevel"/>
    <w:tmpl w:val="D8607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3F4A2A"/>
    <w:multiLevelType w:val="multilevel"/>
    <w:tmpl w:val="DC1EF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97E4CEA"/>
    <w:multiLevelType w:val="multilevel"/>
    <w:tmpl w:val="03481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F2B"/>
    <w:rsid w:val="001A1F2B"/>
    <w:rsid w:val="0052052A"/>
    <w:rsid w:val="005858AE"/>
    <w:rsid w:val="0059154E"/>
    <w:rsid w:val="00760F0A"/>
    <w:rsid w:val="0084182E"/>
    <w:rsid w:val="009B3609"/>
    <w:rsid w:val="009E67DD"/>
    <w:rsid w:val="00A00872"/>
    <w:rsid w:val="00C805F4"/>
    <w:rsid w:val="00D9527F"/>
    <w:rsid w:val="00EC2DFA"/>
    <w:rsid w:val="00EF71DB"/>
    <w:rsid w:val="00F0181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6BEAC6E-A5B7-42E1-A3FB-5FB88DA58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zh-CN"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D9527F"/>
    <w:pPr>
      <w:tabs>
        <w:tab w:val="center" w:pos="4536"/>
        <w:tab w:val="right" w:pos="9072"/>
      </w:tabs>
      <w:spacing w:after="0"/>
    </w:pPr>
  </w:style>
  <w:style w:type="character" w:customStyle="1" w:styleId="KopfzeileZchn">
    <w:name w:val="Kopfzeile Zchn"/>
    <w:basedOn w:val="Absatz-Standardschriftart"/>
    <w:link w:val="Kopfzeile"/>
    <w:uiPriority w:val="99"/>
    <w:rsid w:val="00D9527F"/>
  </w:style>
  <w:style w:type="paragraph" w:styleId="Fuzeile">
    <w:name w:val="footer"/>
    <w:basedOn w:val="Standard"/>
    <w:link w:val="FuzeileZchn"/>
    <w:uiPriority w:val="99"/>
    <w:unhideWhenUsed/>
    <w:rsid w:val="00D9527F"/>
    <w:pPr>
      <w:tabs>
        <w:tab w:val="center" w:pos="4536"/>
        <w:tab w:val="right" w:pos="9072"/>
      </w:tabs>
      <w:spacing w:after="0"/>
    </w:pPr>
  </w:style>
  <w:style w:type="character" w:customStyle="1" w:styleId="FuzeileZchn">
    <w:name w:val="Fußzeile Zchn"/>
    <w:basedOn w:val="Absatz-Standardschriftart"/>
    <w:link w:val="Fuzeile"/>
    <w:uiPriority w:val="99"/>
    <w:rsid w:val="00D9527F"/>
  </w:style>
  <w:style w:type="paragraph" w:styleId="Sprechblasentext">
    <w:name w:val="Balloon Text"/>
    <w:basedOn w:val="Standard"/>
    <w:link w:val="SprechblasentextZchn"/>
    <w:uiPriority w:val="99"/>
    <w:semiHidden/>
    <w:unhideWhenUsed/>
    <w:rsid w:val="009E67D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67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iessmann.de/de/gewerbe/waermepumpe/grosswaermepumpe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52F617BF</Template>
  <TotalTime>0</TotalTime>
  <Pages>3</Pages>
  <Words>620</Words>
  <Characters>3536</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Wolfgang_Rogatty</dc:creator>
  <cp:lastModifiedBy>Wolfgang_Rogatty</cp:lastModifiedBy>
  <cp:revision>2</cp:revision>
  <dcterms:created xsi:type="dcterms:W3CDTF">2019-05-28T07:36:00Z</dcterms:created>
  <dcterms:modified xsi:type="dcterms:W3CDTF">2019-05-28T07:36:00Z</dcterms:modified>
</cp:coreProperties>
</file>